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370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proofErr w:type="spellStart"/>
            <w:r w:rsidRPr="00B246C5">
              <w:rPr>
                <w:rFonts w:eastAsia="Garamond"/>
                <w:b/>
                <w:color w:val="000000"/>
                <w:spacing w:val="2"/>
              </w:rPr>
              <w:t>Dp</w:t>
            </w:r>
            <w:proofErr w:type="spellEnd"/>
            <w:r w:rsidRPr="00B246C5">
              <w:rPr>
                <w:rFonts w:eastAsia="Garamond"/>
                <w:b/>
                <w:color w:val="000000"/>
                <w:spacing w:val="2"/>
              </w:rPr>
              <w:t>. Id – Client Id/ Folio No.</w:t>
            </w:r>
          </w:p>
        </w:tc>
      </w:tr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D60DF0" w:rsidRPr="00B246C5">
        <w:rPr>
          <w:rFonts w:eastAsia="Garamond"/>
          <w:color w:val="000000"/>
          <w:spacing w:val="4"/>
        </w:rPr>
        <w:t>197A (</w:t>
      </w:r>
      <w:r w:rsidRPr="00B246C5">
        <w:rPr>
          <w:rFonts w:eastAsia="Garamond"/>
          <w:color w:val="000000"/>
          <w:spacing w:val="4"/>
        </w:rPr>
        <w:t>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="00D60DF0" w:rsidRPr="00B246C5">
        <w:rPr>
          <w:rFonts w:eastAsia="Garamond"/>
          <w:color w:val="000000"/>
          <w:spacing w:val="4"/>
        </w:rPr>
        <w:t>197A (</w:t>
      </w:r>
      <w:r w:rsidRPr="00B246C5">
        <w:rPr>
          <w:rFonts w:eastAsia="Garamond"/>
          <w:color w:val="000000"/>
          <w:spacing w:val="4"/>
        </w:rPr>
        <w:t>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="004928F4" w:rsidRPr="00B246C5">
        <w:rPr>
          <w:rFonts w:eastAsia="Garamond"/>
          <w:b/>
          <w:color w:val="000000"/>
        </w:rPr>
        <w:t>197A (</w:t>
      </w:r>
      <w:r w:rsidRPr="00B246C5">
        <w:rPr>
          <w:rFonts w:eastAsia="Garamond"/>
          <w:b/>
          <w:color w:val="000000"/>
        </w:rPr>
        <w:t>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="004928F4" w:rsidRPr="00B246C5">
        <w:rPr>
          <w:rFonts w:eastAsia="Garamond"/>
          <w:b/>
          <w:color w:val="000000"/>
        </w:rPr>
        <w:t>197A (</w:t>
      </w:r>
      <w:r w:rsidRPr="00B246C5">
        <w:rPr>
          <w:rFonts w:eastAsia="Garamond"/>
          <w:b/>
          <w:color w:val="000000"/>
        </w:rPr>
        <w:t>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8B1854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8B1854">
              <w:rPr>
                <w:rFonts w:eastAsia="Garamond"/>
                <w:sz w:val="20"/>
                <w:szCs w:val="20"/>
                <w:vertAlign w:val="superscript"/>
              </w:rPr>
              <w:t>3</w:t>
            </w:r>
            <w:r w:rsidR="00FE39C0" w:rsidRPr="008B1854">
              <w:rPr>
                <w:rFonts w:eastAsia="Garamond"/>
                <w:sz w:val="20"/>
                <w:szCs w:val="20"/>
                <w:vertAlign w:val="superscript"/>
              </w:rPr>
              <w:t xml:space="preserve">  </w:t>
            </w:r>
            <w:r w:rsidR="00FE39C0" w:rsidRPr="008B1854">
              <w:rPr>
                <w:rFonts w:eastAsia="Garamond"/>
                <w:sz w:val="20"/>
                <w:szCs w:val="20"/>
              </w:rPr>
              <w:t>FY 2020-21</w:t>
            </w:r>
          </w:p>
          <w:p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BC5F" wp14:editId="428B89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99573C8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0E46A" wp14:editId="34B7A9E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7B07982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FE39C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05C9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1p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proofErr w:type="gramStart"/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proofErr w:type="gramEnd"/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6014D6">
        <w:rPr>
          <w:rFonts w:eastAsia="Garamond"/>
          <w:spacing w:val="-2"/>
          <w:sz w:val="20"/>
          <w:szCs w:val="20"/>
          <w:u w:val="single"/>
        </w:rPr>
        <w:t>5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="00832764" w:rsidRPr="00AA6008">
        <w:rPr>
          <w:rFonts w:eastAsia="Garamond"/>
          <w:color w:val="000000"/>
          <w:spacing w:val="-2"/>
          <w:sz w:val="20"/>
          <w:szCs w:val="20"/>
        </w:rPr>
        <w:t>Relevant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6014D6">
        <w:rPr>
          <w:rFonts w:eastAsia="Garamond"/>
          <w:spacing w:val="-2"/>
          <w:sz w:val="20"/>
          <w:szCs w:val="20"/>
          <w:u w:val="single"/>
        </w:rPr>
        <w:t>4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6014D6">
        <w:rPr>
          <w:rFonts w:eastAsia="Garamond"/>
          <w:spacing w:val="-2"/>
          <w:sz w:val="20"/>
          <w:szCs w:val="20"/>
          <w:u w:val="single"/>
        </w:rPr>
        <w:t>5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6014D6">
        <w:rPr>
          <w:rFonts w:eastAsia="Garamond"/>
          <w:spacing w:val="-2"/>
          <w:sz w:val="20"/>
          <w:szCs w:val="20"/>
          <w:u w:val="single"/>
        </w:rPr>
        <w:t>5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="00CC68B6">
        <w:rPr>
          <w:rFonts w:eastAsia="Garamond"/>
          <w:color w:val="000000"/>
          <w:spacing w:val="-2"/>
          <w:sz w:val="20"/>
          <w:szCs w:val="20"/>
        </w:rPr>
        <w:t>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183D4D">
        <w:rPr>
          <w:rFonts w:eastAsia="Garamond"/>
          <w:spacing w:val="-2"/>
          <w:sz w:val="20"/>
          <w:szCs w:val="20"/>
          <w:u w:val="single"/>
        </w:rPr>
        <w:t>4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183D4D">
        <w:rPr>
          <w:rFonts w:eastAsia="Garamond"/>
          <w:spacing w:val="-2"/>
          <w:sz w:val="20"/>
          <w:szCs w:val="20"/>
          <w:u w:val="single"/>
        </w:rPr>
        <w:t>5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:rsidR="008A0970" w:rsidRPr="00AA6008" w:rsidRDefault="00FE39C0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6809105</wp:posOffset>
                </wp:positionV>
                <wp:extent cx="1219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AF512B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6.15pt" to="126.05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x0EwIAACgEAAAOAAAAZHJzL2Uyb0RvYy54bWysU02P2yAQvVfqf0DcE39sN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 xml:space="preserve">the IT (Fifth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 xml:space="preserve">.) Rules, 1989, </w:t>
      </w:r>
      <w:proofErr w:type="spellStart"/>
      <w:r w:rsidR="007C2455" w:rsidRPr="00AA6008">
        <w:rPr>
          <w:sz w:val="20"/>
          <w:szCs w:val="20"/>
        </w:rPr>
        <w:t>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</w:t>
      </w:r>
      <w:proofErr w:type="spellEnd"/>
      <w:r w:rsidR="007C2455" w:rsidRPr="00AA6008">
        <w:rPr>
          <w:sz w:val="20"/>
          <w:szCs w:val="20"/>
        </w:rPr>
        <w:t xml:space="preserve">. 1-4-1988, IT (Fourteenth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 xml:space="preserve">.) Rules, 1990,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</w:t>
            </w:r>
            <w:bookmarkStart w:id="0" w:name="_GoBack"/>
            <w:bookmarkEnd w:id="0"/>
            <w:r w:rsidR="00DF44BB" w:rsidRPr="00AA6008">
              <w:rPr>
                <w:rFonts w:eastAsia="Garamond"/>
                <w:color w:val="000000"/>
                <w:sz w:val="20"/>
                <w:szCs w:val="20"/>
              </w:rPr>
              <w:t>With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>Place</w:t>
      </w:r>
      <w:proofErr w:type="gramStart"/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  <w:proofErr w:type="gramEnd"/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proofErr w:type="gramStart"/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proofErr w:type="gramEnd"/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CC68B6" w:rsidRPr="00AA6008">
        <w:rPr>
          <w:rFonts w:eastAsia="Garamond"/>
          <w:color w:val="000000"/>
          <w:sz w:val="20"/>
          <w:szCs w:val="20"/>
        </w:rPr>
        <w:t>206AA (</w:t>
      </w:r>
      <w:r w:rsidR="007C2455" w:rsidRPr="00AA6008">
        <w:rPr>
          <w:rFonts w:eastAsia="Garamond"/>
          <w:color w:val="000000"/>
          <w:sz w:val="20"/>
          <w:szCs w:val="20"/>
        </w:rPr>
        <w:t>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DF44BB" w:rsidRPr="00AA6008">
        <w:rPr>
          <w:rFonts w:eastAsia="Garamond"/>
          <w:color w:val="000000"/>
          <w:sz w:val="20"/>
          <w:szCs w:val="20"/>
        </w:rPr>
        <w:t>197A (</w:t>
      </w:r>
      <w:r w:rsidR="007C2455" w:rsidRPr="00AA6008">
        <w:rPr>
          <w:rFonts w:eastAsia="Garamond"/>
          <w:color w:val="000000"/>
          <w:sz w:val="20"/>
          <w:szCs w:val="20"/>
        </w:rPr>
        <w:t>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DF44BB" w:rsidRPr="00AA6008">
        <w:rPr>
          <w:rFonts w:eastAsia="Garamond"/>
          <w:color w:val="000000"/>
          <w:sz w:val="20"/>
          <w:szCs w:val="20"/>
        </w:rPr>
        <w:t>197A (</w:t>
      </w:r>
      <w:r w:rsidR="007C2455" w:rsidRPr="00AA6008">
        <w:rPr>
          <w:rFonts w:eastAsia="Garamond"/>
          <w:color w:val="000000"/>
          <w:sz w:val="20"/>
          <w:szCs w:val="20"/>
        </w:rPr>
        <w:t>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CC68B6" w:rsidRPr="00AA6008">
        <w:rPr>
          <w:rFonts w:eastAsia="Garamond"/>
          <w:color w:val="000000"/>
          <w:sz w:val="20"/>
          <w:szCs w:val="20"/>
        </w:rPr>
        <w:t>197A (</w:t>
      </w:r>
      <w:r w:rsidR="007C2455" w:rsidRPr="00AA6008">
        <w:rPr>
          <w:rFonts w:eastAsia="Garamond"/>
          <w:color w:val="000000"/>
          <w:sz w:val="20"/>
          <w:szCs w:val="20"/>
        </w:rPr>
        <w:t>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CC68B6" w:rsidRPr="00AA6008">
        <w:rPr>
          <w:rFonts w:eastAsia="Garamond"/>
          <w:color w:val="000000"/>
          <w:sz w:val="20"/>
          <w:szCs w:val="20"/>
        </w:rPr>
        <w:t>along 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proofErr w:type="gramStart"/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proofErr w:type="gram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CC68B6" w:rsidRPr="00AA6008">
        <w:rPr>
          <w:rFonts w:eastAsia="Garamond"/>
          <w:color w:val="000000"/>
          <w:sz w:val="20"/>
          <w:szCs w:val="20"/>
        </w:rPr>
        <w:t>along 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CC68B6" w:rsidRPr="00AA6008">
        <w:rPr>
          <w:rFonts w:eastAsia="Garamond"/>
          <w:color w:val="000000"/>
          <w:sz w:val="20"/>
          <w:szCs w:val="20"/>
        </w:rPr>
        <w:t>31A (</w:t>
      </w:r>
      <w:r w:rsidR="007C2455" w:rsidRPr="00AA6008">
        <w:rPr>
          <w:rFonts w:eastAsia="Garamond"/>
          <w:color w:val="000000"/>
          <w:sz w:val="20"/>
          <w:szCs w:val="20"/>
        </w:rPr>
        <w:t>4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)(</w:t>
      </w:r>
      <w:proofErr w:type="gramEnd"/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CC68B6" w:rsidRPr="00AA6008">
        <w:rPr>
          <w:rFonts w:eastAsia="Garamond"/>
          <w:color w:val="000000"/>
          <w:sz w:val="20"/>
          <w:szCs w:val="20"/>
        </w:rPr>
        <w:t>In 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 w:rsidP="003F5570">
      <w:r>
        <w:separator/>
      </w:r>
    </w:p>
  </w:endnote>
  <w:endnote w:type="continuationSeparator" w:id="0">
    <w:p w:rsidR="008A2AB6" w:rsidRDefault="008A2AB6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 w:rsidP="003F5570">
      <w:r>
        <w:separator/>
      </w:r>
    </w:p>
  </w:footnote>
  <w:footnote w:type="continuationSeparator" w:id="0">
    <w:p w:rsidR="008A2AB6" w:rsidRDefault="008A2AB6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65pt;height:6.25pt;visibility:visible;mso-wrap-style:square" o:bullet="t">
        <v:imagedata r:id="rId1" o:title=""/>
      </v:shape>
    </w:pict>
  </w:numPicBullet>
  <w:abstractNum w:abstractNumId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70"/>
    <w:rsid w:val="00041E8C"/>
    <w:rsid w:val="000868FE"/>
    <w:rsid w:val="0009644A"/>
    <w:rsid w:val="000E4DAB"/>
    <w:rsid w:val="00124575"/>
    <w:rsid w:val="00137EB1"/>
    <w:rsid w:val="00152F33"/>
    <w:rsid w:val="001629C1"/>
    <w:rsid w:val="00183D4D"/>
    <w:rsid w:val="00270D7C"/>
    <w:rsid w:val="00283C14"/>
    <w:rsid w:val="002F07F1"/>
    <w:rsid w:val="00302083"/>
    <w:rsid w:val="003072DA"/>
    <w:rsid w:val="00374600"/>
    <w:rsid w:val="003C0F1A"/>
    <w:rsid w:val="003E3CF4"/>
    <w:rsid w:val="003F5570"/>
    <w:rsid w:val="004200C4"/>
    <w:rsid w:val="00483663"/>
    <w:rsid w:val="004928F4"/>
    <w:rsid w:val="004B1433"/>
    <w:rsid w:val="004E4DE6"/>
    <w:rsid w:val="00527E2E"/>
    <w:rsid w:val="005A3685"/>
    <w:rsid w:val="005E084D"/>
    <w:rsid w:val="005F616C"/>
    <w:rsid w:val="006014D6"/>
    <w:rsid w:val="00616B49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C0564"/>
    <w:rsid w:val="007C2455"/>
    <w:rsid w:val="007D6E81"/>
    <w:rsid w:val="007E49E2"/>
    <w:rsid w:val="00817004"/>
    <w:rsid w:val="00831571"/>
    <w:rsid w:val="00831BE6"/>
    <w:rsid w:val="00832764"/>
    <w:rsid w:val="00840026"/>
    <w:rsid w:val="00862E45"/>
    <w:rsid w:val="008A0970"/>
    <w:rsid w:val="008A141A"/>
    <w:rsid w:val="008A2AB6"/>
    <w:rsid w:val="008A3B87"/>
    <w:rsid w:val="008B1854"/>
    <w:rsid w:val="008B7773"/>
    <w:rsid w:val="008C41D4"/>
    <w:rsid w:val="009874E0"/>
    <w:rsid w:val="009A1510"/>
    <w:rsid w:val="009F4CF2"/>
    <w:rsid w:val="00A90A7F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C68B6"/>
    <w:rsid w:val="00CD246A"/>
    <w:rsid w:val="00D1653C"/>
    <w:rsid w:val="00D33C31"/>
    <w:rsid w:val="00D60DF0"/>
    <w:rsid w:val="00D86FF8"/>
    <w:rsid w:val="00DF44BB"/>
    <w:rsid w:val="00E3661C"/>
    <w:rsid w:val="00E72C70"/>
    <w:rsid w:val="00ED0458"/>
    <w:rsid w:val="00F11C08"/>
    <w:rsid w:val="00F7230B"/>
    <w:rsid w:val="00F74BF7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8C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PC</cp:lastModifiedBy>
  <cp:revision>13</cp:revision>
  <dcterms:created xsi:type="dcterms:W3CDTF">2020-06-25T13:27:00Z</dcterms:created>
  <dcterms:modified xsi:type="dcterms:W3CDTF">2025-07-09T10:11:00Z</dcterms:modified>
</cp:coreProperties>
</file>